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61" w:rsidRDefault="00473D59">
      <w:pPr>
        <w:pStyle w:val="Overskrift1"/>
        <w:rPr>
          <w:lang w:val="nb-NO"/>
        </w:rPr>
      </w:pPr>
      <w:r>
        <w:rPr>
          <w:lang w:val="nb-NO"/>
        </w:rPr>
        <w:t>Nasjonalt tverrfaglig team for diagnostisering og identifisering av døvblindhet</w:t>
      </w:r>
    </w:p>
    <w:p w:rsidR="00E87239" w:rsidRPr="00E87239" w:rsidRDefault="00E87239" w:rsidP="00E87239">
      <w:pPr>
        <w:rPr>
          <w:lang w:val="nb-NO"/>
        </w:rPr>
      </w:pPr>
    </w:p>
    <w:p w:rsidR="00EA0761" w:rsidRDefault="00473D59">
      <w:pPr>
        <w:pStyle w:val="Overskrift2"/>
        <w:rPr>
          <w:lang w:val="nb-NO"/>
        </w:rPr>
      </w:pPr>
      <w:r>
        <w:rPr>
          <w:lang w:val="nb-NO"/>
        </w:rPr>
        <w:t xml:space="preserve">Mandat </w:t>
      </w:r>
    </w:p>
    <w:p w:rsidR="00EA0761" w:rsidRPr="007919BB" w:rsidRDefault="00E87239">
      <w:p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I</w:t>
      </w:r>
      <w:r w:rsidR="00473D59" w:rsidRPr="007919BB">
        <w:rPr>
          <w:sz w:val="24"/>
          <w:szCs w:val="24"/>
          <w:lang w:val="nb-NO"/>
        </w:rPr>
        <w:t xml:space="preserve"> 2009 fikk Nasjonalt tverrfaglig team for diagnostisering og </w:t>
      </w:r>
      <w:r w:rsidRPr="007919BB">
        <w:rPr>
          <w:sz w:val="24"/>
          <w:szCs w:val="24"/>
          <w:lang w:val="nb-NO"/>
        </w:rPr>
        <w:t>identifisering</w:t>
      </w:r>
      <w:r w:rsidR="00473D59" w:rsidRPr="007919BB">
        <w:rPr>
          <w:sz w:val="24"/>
          <w:szCs w:val="24"/>
          <w:lang w:val="nb-NO"/>
        </w:rPr>
        <w:t xml:space="preserve"> av døvblindhet (NTT) i oppgave å kvalitetssikre at det er foretatt nødvendig og tilstrekkelig medisinsk og funksjonell utredning og diagnostikk av døvblindhet i det ordinære tjenesteapparat, samt sikre diagnostisering og identifisering av døvblindhet hos personer med sjeldne tilstander og syndromer. </w:t>
      </w:r>
    </w:p>
    <w:p w:rsidR="00EA0761" w:rsidRPr="007919BB" w:rsidRDefault="00473D59">
      <w:p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De tjenesteytende enhetene i Nasjonal kompetansetjeneste for døvblinde (NKDB) skal melde alle nye mulige brukere til NTT. Koordineringsenheten ved Universitetssykehuset Nord-Norge HF (UNN) har koordineringsansvar og er sekretariat for </w:t>
      </w:r>
      <w:r w:rsidR="00E87239" w:rsidRPr="007919BB">
        <w:rPr>
          <w:sz w:val="24"/>
          <w:szCs w:val="24"/>
          <w:lang w:val="nb-NO"/>
        </w:rPr>
        <w:t>NTT</w:t>
      </w:r>
      <w:r w:rsidRPr="007919BB">
        <w:rPr>
          <w:sz w:val="24"/>
          <w:szCs w:val="24"/>
          <w:lang w:val="nb-NO"/>
        </w:rPr>
        <w:t xml:space="preserve">. </w:t>
      </w:r>
    </w:p>
    <w:p w:rsidR="00EA0761" w:rsidRDefault="00473D59">
      <w:pPr>
        <w:pStyle w:val="Overskrift2"/>
        <w:rPr>
          <w:lang w:val="nb-NO"/>
        </w:rPr>
      </w:pPr>
      <w:r>
        <w:rPr>
          <w:lang w:val="nb-NO"/>
        </w:rPr>
        <w:t xml:space="preserve">Målsetting 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Kvalitetssikre tidlig og riktig medisinsk og funksjonell utredning av personer med sjeldne tilstander og syndromer som fører til døvblindhet. 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Øke muligheten for tidlig og riktig medisinsk diagnostikk av årsaksforhold til døvblindhet.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Arbeide for implementering av like kriterier for identifisering av døvblindhet, uavhengig av brukers bosted. 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Bidra til videreutvikling av prosedyrer, redskaper og metoder for utredning av </w:t>
      </w:r>
      <w:r w:rsidR="00616C4E">
        <w:rPr>
          <w:sz w:val="24"/>
          <w:szCs w:val="24"/>
          <w:lang w:val="nb-NO"/>
        </w:rPr>
        <w:t>syns- og hørselsnedsettelser</w:t>
      </w:r>
      <w:r w:rsidR="00373338">
        <w:rPr>
          <w:sz w:val="24"/>
          <w:szCs w:val="24"/>
          <w:lang w:val="nb-NO"/>
        </w:rPr>
        <w:t xml:space="preserve"> </w:t>
      </w:r>
      <w:r w:rsidRPr="007919BB">
        <w:rPr>
          <w:sz w:val="24"/>
          <w:szCs w:val="24"/>
          <w:lang w:val="nb-NO"/>
        </w:rPr>
        <w:t>på grunn av sjeldne tilstander og syndromer</w:t>
      </w:r>
      <w:r w:rsidR="00373338">
        <w:rPr>
          <w:sz w:val="24"/>
          <w:szCs w:val="24"/>
          <w:lang w:val="nb-NO"/>
        </w:rPr>
        <w:t>, samt taktil funksjon</w:t>
      </w:r>
      <w:r w:rsidRPr="007919BB">
        <w:rPr>
          <w:sz w:val="24"/>
          <w:szCs w:val="24"/>
          <w:lang w:val="nb-NO"/>
        </w:rPr>
        <w:t xml:space="preserve">. 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Innhente og anvende ny viten og kompetanse på fagområder knyttet til døvblindhet. 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Bidra til optimal habilitering/rehabilitering for personer med sjeldne tilstander og syndromer som fører til døvblindhet. </w:t>
      </w:r>
    </w:p>
    <w:p w:rsidR="00EA0761" w:rsidRPr="007919BB" w:rsidRDefault="00473D5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Bidra til samarbeid med andre kompetansemiljøer og -sentre for sjeldne og lite kjente diagnoser og funksjonshemninger. </w:t>
      </w:r>
    </w:p>
    <w:p w:rsidR="00EA0761" w:rsidRDefault="00473D59">
      <w:pPr>
        <w:pStyle w:val="Overskrift2"/>
        <w:rPr>
          <w:lang w:val="nb-NO"/>
        </w:rPr>
      </w:pPr>
      <w:r>
        <w:rPr>
          <w:lang w:val="nb-NO"/>
        </w:rPr>
        <w:t>Teamets sammensetning</w:t>
      </w:r>
    </w:p>
    <w:p w:rsidR="00EA0761" w:rsidRPr="007919BB" w:rsidRDefault="00473D59">
      <w:p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NTT er sammensatt av høyt kvalifiserte fagpersoner innen ulike medisinske fagområder og fra tjenesteytende enheter i NKDB. Til sammen innehar teamet bred og svært høy faglig kompetanse om medfødt og ervervet døvblindhet.  Hvert medlem har personlig vararepresentant. De faste medlemmene er ansvarlig for å møte hvis ikke annet er avtalt. Teamet kan ved behov forsterkes med ekstra kompetanse, som </w:t>
      </w:r>
      <w:r w:rsidR="00775137">
        <w:rPr>
          <w:sz w:val="24"/>
          <w:szCs w:val="24"/>
          <w:lang w:val="nb-NO"/>
        </w:rPr>
        <w:t xml:space="preserve">for eksempel </w:t>
      </w:r>
      <w:r w:rsidRPr="007919BB">
        <w:rPr>
          <w:sz w:val="24"/>
          <w:szCs w:val="24"/>
          <w:lang w:val="nb-NO"/>
        </w:rPr>
        <w:t xml:space="preserve">fagpersoner fra relevante sjeldensentra eller medisinske fagmiljøer. Teamet skal fungere som et helhetlig fagteam i forhold til de vurderinger som skal gjøres. Medlemmer med vararepresentanter deltar for </w:t>
      </w:r>
      <w:r w:rsidR="000E025A">
        <w:rPr>
          <w:sz w:val="24"/>
          <w:szCs w:val="24"/>
          <w:lang w:val="nb-NO"/>
        </w:rPr>
        <w:t>fire</w:t>
      </w:r>
      <w:r w:rsidRPr="007919BB">
        <w:rPr>
          <w:sz w:val="24"/>
          <w:szCs w:val="24"/>
          <w:lang w:val="nb-NO"/>
        </w:rPr>
        <w:t xml:space="preserve"> år av gangen, men kan </w:t>
      </w:r>
      <w:r w:rsidR="000E025A">
        <w:rPr>
          <w:sz w:val="24"/>
          <w:szCs w:val="24"/>
          <w:lang w:val="nb-NO"/>
        </w:rPr>
        <w:t>søke forlengelse med to år om gangen</w:t>
      </w:r>
      <w:r w:rsidRPr="007919BB">
        <w:rPr>
          <w:sz w:val="24"/>
          <w:szCs w:val="24"/>
          <w:lang w:val="nb-NO"/>
        </w:rPr>
        <w:t xml:space="preserve"> med tanke på kontinuitet og spesialisert erfaring og kompetanse. </w:t>
      </w:r>
    </w:p>
    <w:p w:rsidR="00EA0761" w:rsidRPr="007919BB" w:rsidRDefault="00473D59">
      <w:p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lastRenderedPageBreak/>
        <w:t xml:space="preserve">NTT administreres av koordineringsenheten, som har det overordnete faglige og økonomiske ansvaret for virksomheten. Teamet ledes av en fagperson, som rapporterer til koordineringsenheten. </w:t>
      </w:r>
    </w:p>
    <w:p w:rsidR="00EA0761" w:rsidRPr="007919BB" w:rsidRDefault="00473D59" w:rsidP="00E87239">
      <w:p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NTT er sammensatt av: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øyespesialist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øre-nese-hals spesialist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genetiker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nevropsykolog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spesialpsykolog innen døvblindhet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synspedagog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audiopedagog </w:t>
      </w:r>
    </w:p>
    <w:p w:rsidR="00EA0761" w:rsidRDefault="00473D59" w:rsidP="00E87239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spesialpedagog </w:t>
      </w:r>
    </w:p>
    <w:p w:rsidR="00C65656" w:rsidRDefault="00C65656">
      <w:pPr>
        <w:suppressAutoHyphens w:val="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br w:type="page"/>
      </w:r>
    </w:p>
    <w:p w:rsidR="00C65656" w:rsidRPr="00C65656" w:rsidRDefault="00C65656" w:rsidP="00C65656">
      <w:pPr>
        <w:spacing w:after="0"/>
        <w:rPr>
          <w:sz w:val="24"/>
          <w:szCs w:val="24"/>
          <w:lang w:val="nb-NO"/>
        </w:rPr>
      </w:pPr>
    </w:p>
    <w:p w:rsidR="00EA0761" w:rsidRDefault="00473D59">
      <w:pPr>
        <w:pStyle w:val="Overskrift2"/>
        <w:rPr>
          <w:lang w:val="nb-NO"/>
        </w:rPr>
      </w:pPr>
      <w:r>
        <w:rPr>
          <w:lang w:val="nb-NO"/>
        </w:rPr>
        <w:t>Rutiner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Henvendelse/henvisning om utredning kan gjøres av brukere/pårørende og fagpersoner/faginstanser til alle tjenesteytende enheter i NKDB.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Henvendelsen sendes </w:t>
      </w:r>
      <w:proofErr w:type="spellStart"/>
      <w:r w:rsidRPr="007919BB">
        <w:rPr>
          <w:sz w:val="24"/>
          <w:szCs w:val="24"/>
          <w:lang w:val="nb-NO"/>
        </w:rPr>
        <w:t>NKDBs</w:t>
      </w:r>
      <w:proofErr w:type="spellEnd"/>
      <w:r w:rsidRPr="007919BB">
        <w:rPr>
          <w:sz w:val="24"/>
          <w:szCs w:val="24"/>
          <w:lang w:val="nb-NO"/>
        </w:rPr>
        <w:t xml:space="preserve"> nærmeste regionsenter, som går videre med saken etter brukers ønske/godkjenning. Ut fra retten til fritt behandlingsvalg kan bruker eventuelt ønske et annet regionsenter.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Regionsenteret påser at medisinske undersøkelser blir gjort (syn, hørsel</w:t>
      </w:r>
      <w:r w:rsidR="00775137">
        <w:rPr>
          <w:sz w:val="24"/>
          <w:szCs w:val="24"/>
          <w:lang w:val="nb-NO"/>
        </w:rPr>
        <w:t xml:space="preserve"> og</w:t>
      </w:r>
      <w:r w:rsidRPr="007919BB">
        <w:rPr>
          <w:sz w:val="24"/>
          <w:szCs w:val="24"/>
          <w:lang w:val="nb-NO"/>
        </w:rPr>
        <w:t xml:space="preserve"> andre undersøkelser) og/eller innhenter resultater/opplysninger som er relevante.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Regionsenteret utfører/tar ansvar for tilstrekkelige funksjonelle undersøkelser av syn, hørsel og andre sanser i kommunikasjon, informasjonstilegnelse og mobilitet, ved bruk av intervjuer, observasjoner, sjekklister og videoopptak. Videoopptak legges inn på </w:t>
      </w:r>
      <w:r w:rsidR="007E4868">
        <w:rPr>
          <w:sz w:val="24"/>
          <w:szCs w:val="24"/>
          <w:lang w:val="nb-NO"/>
        </w:rPr>
        <w:t xml:space="preserve">kodestyrt eller kryptert </w:t>
      </w:r>
      <w:r w:rsidRPr="007919BB">
        <w:rPr>
          <w:sz w:val="24"/>
          <w:szCs w:val="24"/>
          <w:lang w:val="nb-NO"/>
        </w:rPr>
        <w:t xml:space="preserve">minnepinne for presentasjon i NTT.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Utredningsskjema fylles ut og undertegnes av regionsenterets leder. Utredningsskjema, sammen med medisinske og funksjonelle rapporter, sendes til koordineringsenheten, som videresender til medlemme</w:t>
      </w:r>
      <w:r>
        <w:rPr>
          <w:sz w:val="24"/>
          <w:szCs w:val="24"/>
          <w:lang w:val="nb-NO"/>
        </w:rPr>
        <w:t xml:space="preserve">ne </w:t>
      </w:r>
      <w:r w:rsidRPr="007919BB">
        <w:rPr>
          <w:sz w:val="24"/>
          <w:szCs w:val="24"/>
          <w:lang w:val="nb-NO"/>
        </w:rPr>
        <w:t xml:space="preserve">i NTT. Rapportene skal vise de nyeste papirer </w:t>
      </w:r>
      <w:r>
        <w:rPr>
          <w:sz w:val="24"/>
          <w:szCs w:val="24"/>
          <w:lang w:val="nb-NO"/>
        </w:rPr>
        <w:t>fremst</w:t>
      </w:r>
      <w:r w:rsidRPr="007919BB">
        <w:rPr>
          <w:sz w:val="24"/>
          <w:szCs w:val="24"/>
          <w:lang w:val="nb-NO"/>
        </w:rPr>
        <w:t xml:space="preserve">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Regionsenteret sender saken samlet til koordineringsenheten pr. post senest </w:t>
      </w:r>
      <w:r>
        <w:rPr>
          <w:sz w:val="24"/>
          <w:szCs w:val="24"/>
          <w:lang w:val="nb-NO"/>
        </w:rPr>
        <w:t>seks</w:t>
      </w:r>
      <w:r w:rsidRPr="007919BB">
        <w:rPr>
          <w:sz w:val="24"/>
          <w:szCs w:val="24"/>
          <w:lang w:val="nb-NO"/>
        </w:rPr>
        <w:t xml:space="preserve"> uker før møte i NTT.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Koordineringsenheten sender sakspapirene til alle hovedmedlemmer senest </w:t>
      </w:r>
      <w:r>
        <w:rPr>
          <w:sz w:val="24"/>
          <w:szCs w:val="24"/>
          <w:lang w:val="nb-NO"/>
        </w:rPr>
        <w:t>fire</w:t>
      </w:r>
      <w:r w:rsidRPr="007919BB">
        <w:rPr>
          <w:sz w:val="24"/>
          <w:szCs w:val="24"/>
          <w:lang w:val="nb-NO"/>
        </w:rPr>
        <w:t xml:space="preserve"> uker før møtet holdes.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Ved behov kan aktuelt regionsenter delta på møtet i NTT for å presentere saken</w:t>
      </w:r>
      <w:r>
        <w:rPr>
          <w:sz w:val="24"/>
          <w:szCs w:val="24"/>
          <w:lang w:val="nb-NO"/>
        </w:rPr>
        <w:t xml:space="preserve"> nærmere</w:t>
      </w:r>
      <w:r w:rsidRPr="007919BB">
        <w:rPr>
          <w:sz w:val="24"/>
          <w:szCs w:val="24"/>
          <w:lang w:val="nb-NO"/>
        </w:rPr>
        <w:t>. NTT innkaller i så fall regionssenteret.</w:t>
      </w:r>
      <w:r>
        <w:rPr>
          <w:sz w:val="24"/>
          <w:szCs w:val="24"/>
          <w:lang w:val="nb-NO"/>
        </w:rPr>
        <w:t xml:space="preserve">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NTT kan be om ytterligere utredninger, tester og informasjon – funksjonelt og/eller medisinsk </w:t>
      </w:r>
      <w:r>
        <w:rPr>
          <w:sz w:val="24"/>
          <w:szCs w:val="24"/>
          <w:lang w:val="nb-NO"/>
        </w:rPr>
        <w:t>–</w:t>
      </w:r>
      <w:r w:rsidRPr="007919BB">
        <w:rPr>
          <w:sz w:val="24"/>
          <w:szCs w:val="24"/>
          <w:lang w:val="nb-NO"/>
        </w:rPr>
        <w:t xml:space="preserve"> før saken kan ferdigbehandles.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Beslutning om funksjonell døvblindhet konkluderes av NTTs medlemmer ut fra de opplysninger som foreligger i tilsendt og eventuelt presentert materiale. Teamet er helhetlig ansvarlig for de vedtakene som gjøres, og at disse er utført i tråd med gitt mandat.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 xml:space="preserve">Leder av NTT er ansvarlig for sammenfatningen av teamets vedtak, og at disse føres på eget vedtaksskjema. To fra teamet skriver under vedtakene sammen med leder. </w:t>
      </w:r>
    </w:p>
    <w:p w:rsidR="00EA0761" w:rsidRPr="007919BB" w:rsidRDefault="00473D59" w:rsidP="00E87239">
      <w:pPr>
        <w:pStyle w:val="Listeavsnitt"/>
        <w:numPr>
          <w:ilvl w:val="0"/>
          <w:numId w:val="1"/>
        </w:numPr>
        <w:rPr>
          <w:sz w:val="24"/>
          <w:szCs w:val="24"/>
          <w:lang w:val="nb-NO"/>
        </w:rPr>
      </w:pPr>
      <w:r w:rsidRPr="007919BB">
        <w:rPr>
          <w:sz w:val="24"/>
          <w:szCs w:val="24"/>
          <w:lang w:val="nb-NO"/>
        </w:rPr>
        <w:t>Leder av NTT sender alle vedtak til koordineringsenheten, som videresender vedtakene til regionsentrene</w:t>
      </w:r>
      <w:bookmarkStart w:id="0" w:name="_GoBack"/>
      <w:bookmarkEnd w:id="0"/>
      <w:r w:rsidRPr="007919BB">
        <w:rPr>
          <w:sz w:val="24"/>
          <w:szCs w:val="24"/>
          <w:lang w:val="nb-NO"/>
        </w:rPr>
        <w:t xml:space="preserve"> for videreformidling til bruker og fastlege. </w:t>
      </w:r>
    </w:p>
    <w:sectPr w:rsidR="00EA0761" w:rsidRPr="007919BB" w:rsidSect="00C65656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723" w:rsidRDefault="00473D59">
      <w:pPr>
        <w:spacing w:after="0" w:line="240" w:lineRule="auto"/>
      </w:pPr>
      <w:r>
        <w:separator/>
      </w:r>
    </w:p>
  </w:endnote>
  <w:endnote w:type="continuationSeparator" w:id="0">
    <w:p w:rsidR="001A3723" w:rsidRDefault="0047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77" w:rsidRDefault="00473D59">
    <w:pPr>
      <w:pStyle w:val="Bunntekst"/>
      <w:jc w:val="right"/>
    </w:pPr>
    <w:r>
      <w:rPr>
        <w:lang w:val="nb-NO"/>
      </w:rPr>
      <w:fldChar w:fldCharType="begin"/>
    </w:r>
    <w:r>
      <w:rPr>
        <w:lang w:val="nb-NO"/>
      </w:rPr>
      <w:instrText xml:space="preserve"> PAGE </w:instrText>
    </w:r>
    <w:r>
      <w:rPr>
        <w:lang w:val="nb-NO"/>
      </w:rPr>
      <w:fldChar w:fldCharType="separate"/>
    </w:r>
    <w:r>
      <w:rPr>
        <w:lang w:val="nb-NO"/>
      </w:rPr>
      <w:t>2</w:t>
    </w:r>
    <w:r>
      <w:rPr>
        <w:lang w:val="nb-NO"/>
      </w:rPr>
      <w:fldChar w:fldCharType="end"/>
    </w:r>
  </w:p>
  <w:p w:rsidR="00DB6A77" w:rsidRDefault="000E02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723" w:rsidRDefault="00473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A3723" w:rsidRDefault="0047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56" w:rsidRDefault="00C65656">
    <w:pPr>
      <w:pStyle w:val="Topptekst"/>
    </w:pPr>
    <w:r>
      <w:rPr>
        <w:noProof/>
      </w:rPr>
      <w:drawing>
        <wp:inline distT="0" distB="0" distL="0" distR="0" wp14:anchorId="55F29242" wp14:editId="55E1D706">
          <wp:extent cx="3267736" cy="396273"/>
          <wp:effectExtent l="0" t="0" r="8864" b="3777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736" cy="3962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C8E"/>
    <w:multiLevelType w:val="multilevel"/>
    <w:tmpl w:val="58C4D098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4A2A7F"/>
    <w:multiLevelType w:val="multilevel"/>
    <w:tmpl w:val="001C81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5823DB0"/>
    <w:multiLevelType w:val="multilevel"/>
    <w:tmpl w:val="B0AC4A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BC05B9"/>
    <w:multiLevelType w:val="multilevel"/>
    <w:tmpl w:val="8B90817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61"/>
    <w:rsid w:val="000E025A"/>
    <w:rsid w:val="001A3723"/>
    <w:rsid w:val="00373338"/>
    <w:rsid w:val="00473D59"/>
    <w:rsid w:val="00616C4E"/>
    <w:rsid w:val="00775137"/>
    <w:rsid w:val="007919BB"/>
    <w:rsid w:val="007E4868"/>
    <w:rsid w:val="00C65656"/>
    <w:rsid w:val="00DA666A"/>
    <w:rsid w:val="00E87239"/>
    <w:rsid w:val="00EA0761"/>
    <w:rsid w:val="00F4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3024"/>
  <w15:docId w15:val="{4D681479-56F7-4C81-9511-36F518BA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ommentReference">
    <w:name w:val="Comment Reference"/>
    <w:basedOn w:val="Standardskriftforavsnitt"/>
    <w:rPr>
      <w:sz w:val="16"/>
      <w:szCs w:val="16"/>
    </w:rPr>
  </w:style>
  <w:style w:type="paragraph" w:customStyle="1" w:styleId="CommentText">
    <w:name w:val="Comment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kriftforavsnitt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skriftforavsnitt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pPr>
      <w:ind w:left="720"/>
    </w:pPr>
  </w:style>
  <w:style w:type="paragraph" w:styleId="Merknadsteks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rPr>
      <w:sz w:val="20"/>
      <w:szCs w:val="20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Overskrift2Tegn">
    <w:name w:val="Overskrift 2 Tegn"/>
    <w:basedOn w:val="Standardskriftforavsnitt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762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Kaldhusseter</dc:creator>
  <dc:description/>
  <cp:lastModifiedBy>Hirsti Eva</cp:lastModifiedBy>
  <cp:revision>8</cp:revision>
  <dcterms:created xsi:type="dcterms:W3CDTF">2021-08-26T09:09:00Z</dcterms:created>
  <dcterms:modified xsi:type="dcterms:W3CDTF">2022-04-22T13:26:00Z</dcterms:modified>
</cp:coreProperties>
</file>